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7C" w:rsidRDefault="001B377C">
      <w:pPr>
        <w:widowControl/>
      </w:pPr>
      <w:bookmarkStart w:id="0" w:name="_GoBack"/>
      <w:bookmarkEnd w:id="0"/>
    </w:p>
    <w:p w:rsidR="001B377C" w:rsidRPr="001B377C" w:rsidRDefault="001B377C" w:rsidP="004F2172">
      <w:pPr>
        <w:widowControl/>
        <w:jc w:val="center"/>
        <w:rPr>
          <w:rFonts w:ascii="Times New Roman" w:eastAsia="標楷體" w:hAnsi="Times New Roman" w:cs="Times New Roman"/>
          <w:b/>
          <w:color w:val="000000" w:themeColor="text1"/>
          <w:sz w:val="36"/>
          <w:szCs w:val="28"/>
        </w:rPr>
      </w:pPr>
      <w:r w:rsidRPr="001B377C">
        <w:rPr>
          <w:rFonts w:ascii="Times New Roman" w:eastAsia="標楷體" w:hAnsi="Times New Roman" w:cs="Times New Roman"/>
          <w:b/>
          <w:color w:val="000000" w:themeColor="text1"/>
          <w:sz w:val="36"/>
          <w:szCs w:val="28"/>
        </w:rPr>
        <w:t>教育部補</w:t>
      </w:r>
      <w:r w:rsidRPr="001B377C">
        <w:rPr>
          <w:rFonts w:ascii="Times New Roman" w:eastAsia="標楷體" w:hAnsi="Times New Roman" w:cs="Times New Roman"/>
          <w:b/>
          <w:color w:val="000000" w:themeColor="text1"/>
          <w:sz w:val="36"/>
          <w:szCs w:val="28"/>
        </w:rPr>
        <w:t>(</w:t>
      </w:r>
      <w:r w:rsidRPr="001B377C">
        <w:rPr>
          <w:rFonts w:ascii="Times New Roman" w:eastAsia="標楷體" w:hAnsi="Times New Roman" w:cs="Times New Roman"/>
          <w:b/>
          <w:color w:val="000000" w:themeColor="text1"/>
          <w:sz w:val="36"/>
          <w:szCs w:val="28"/>
        </w:rPr>
        <w:t>捐</w:t>
      </w:r>
      <w:r w:rsidRPr="001B377C">
        <w:rPr>
          <w:rFonts w:ascii="Times New Roman" w:eastAsia="標楷體" w:hAnsi="Times New Roman" w:cs="Times New Roman"/>
          <w:b/>
          <w:color w:val="000000" w:themeColor="text1"/>
          <w:sz w:val="36"/>
          <w:szCs w:val="28"/>
        </w:rPr>
        <w:t>)</w:t>
      </w:r>
      <w:r w:rsidRPr="001B377C">
        <w:rPr>
          <w:rFonts w:ascii="Times New Roman" w:eastAsia="標楷體" w:hAnsi="Times New Roman" w:cs="Times New Roman"/>
          <w:b/>
          <w:color w:val="000000" w:themeColor="text1"/>
          <w:sz w:val="36"/>
          <w:szCs w:val="28"/>
        </w:rPr>
        <w:t>助及委辦計畫經費編列基準表</w:t>
      </w:r>
    </w:p>
    <w:tbl>
      <w:tblPr>
        <w:tblpPr w:leftFromText="180" w:rightFromText="180" w:vertAnchor="text" w:tblpY="1"/>
        <w:tblOverlap w:val="neve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24"/>
        <w:gridCol w:w="2097"/>
        <w:gridCol w:w="4675"/>
      </w:tblGrid>
      <w:tr w:rsidR="000C4C9F" w:rsidRPr="00110EAB" w:rsidTr="00EC3124">
        <w:trPr>
          <w:tblHeader/>
        </w:trPr>
        <w:tc>
          <w:tcPr>
            <w:tcW w:w="1502" w:type="dxa"/>
            <w:shd w:val="clear" w:color="auto" w:fill="C5E0B3"/>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一級用途別項目</w:t>
            </w:r>
          </w:p>
        </w:tc>
        <w:tc>
          <w:tcPr>
            <w:tcW w:w="1524" w:type="dxa"/>
            <w:shd w:val="clear" w:color="auto" w:fill="C5E0B3"/>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二級用途別項目</w:t>
            </w:r>
          </w:p>
        </w:tc>
        <w:tc>
          <w:tcPr>
            <w:tcW w:w="2097" w:type="dxa"/>
            <w:shd w:val="clear" w:color="auto" w:fill="C5E0B3"/>
            <w:vAlign w:val="center"/>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編列基準</w:t>
            </w:r>
          </w:p>
        </w:tc>
        <w:tc>
          <w:tcPr>
            <w:tcW w:w="4675" w:type="dxa"/>
            <w:shd w:val="clear" w:color="auto" w:fill="C5E0B3"/>
            <w:vAlign w:val="center"/>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支用說明</w:t>
            </w: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ㄧ、人事費</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vMerge w:val="restart"/>
            <w:shd w:val="clear" w:color="auto" w:fill="auto"/>
          </w:tcPr>
          <w:p w:rsidR="000C4C9F" w:rsidRPr="00110EAB" w:rsidRDefault="000C4C9F" w:rsidP="00EC3124">
            <w:pPr>
              <w:snapToGrid w:val="0"/>
              <w:spacing w:line="28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人事費應併入所得並請執行單位代扣繳稅款。</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ㄧ、主持人資格規定：每一計畫主持人限一人，協同主持人限一至二人，須具博士或副教授以上資格或具相當經驗之專家，前述限制，倘因特殊需要，經本部同意者，不在此限。</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二、各計畫人數以不超過四人為原則，但應業務需要，經本部同意，得酌予增列。</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三、專兼任行政助理之聘用，應依各單位人員進用辦法進用與管理。</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四、人事費所需費用含薪資、退休金、保險及其他依法應給予項目。</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五、支用限制：</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（一）補（捐）助案件除因特殊需要並經本部同意者外，以不補（捐）助人事費為原則。</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（二）兼任計畫主持人或兼任協同計畫主持人除因執行跨校、跨領域及其他非屬本職職責之計畫，經本部同意者外，原則不予補（捐）助相關主持人費。</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（三）本項經費除經本部同意者或依法令規定調增相關費用致不敷使用者外，不得流入；除情況特殊者，所需經費占總經費之比率以不超過</w:t>
            </w:r>
            <w:r w:rsidRPr="00110EAB">
              <w:rPr>
                <w:rFonts w:ascii="Times New Roman" w:eastAsia="標楷體" w:hAnsi="Times New Roman" w:cs="Times New Roman"/>
                <w:color w:val="000000" w:themeColor="text1"/>
                <w:szCs w:val="24"/>
              </w:rPr>
              <w:t>50</w:t>
            </w:r>
            <w:r w:rsidRPr="00110EAB">
              <w:rPr>
                <w:rFonts w:ascii="Times New Roman" w:eastAsia="標楷體" w:hAnsi="Times New Roman" w:cs="Times New Roman"/>
                <w:color w:val="000000" w:themeColor="text1"/>
                <w:szCs w:val="24"/>
              </w:rPr>
              <w:t>％為原則。</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（四）已按月支領固定津貼者，除實際擔任授課人員，得依規定支領講座鐘點費外，不得重複支領本計畫之其他酬勞。</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五）加班費：補（捐）助計畫專任助理如確有加班事實，加班費不得由補（捐）助經費支給，惟仍應依勞動基準法規定辦理，並由執行單位年度經費核實支給加班費。委辦計畫係由委辦單位依計畫需求核實編列人力經費，爰請依契約及各執行單位規定辦理。</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（六）特別休假未休畢之工資費用：為維護</w:t>
            </w:r>
            <w:r w:rsidRPr="00110EAB">
              <w:rPr>
                <w:rFonts w:ascii="Times New Roman" w:eastAsia="標楷體" w:hAnsi="Times New Roman" w:cs="Times New Roman"/>
                <w:color w:val="000000" w:themeColor="text1"/>
                <w:szCs w:val="24"/>
              </w:rPr>
              <w:lastRenderedPageBreak/>
              <w:t>勞工身心健康權益，執行計畫時應依勞動基準法第三十八條規定與計畫專任助理妥為協調安排並落實休假制度，不應於編列計畫預算時，即預設將發生特別休假未休畢之情形而編列是項工資。</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（七）研究生兼職應按各校訂定之兼職規定辦理。</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（八）專任行政助理不得再兼任本部或其他機關計畫。但大專校院之專任行政助理除所擔任之計畫外，得再兼任本部或其他機關二項以內計畫之助理或臨時工，所支領兼任報酬以每月總額一萬元為限。</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兼任計畫主持人</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每人月薪資</w:t>
            </w:r>
            <w:r w:rsidRPr="00110EAB">
              <w:rPr>
                <w:rFonts w:ascii="Times New Roman" w:eastAsia="標楷體" w:hAnsi="Times New Roman" w:cs="Times New Roman"/>
                <w:color w:val="000000" w:themeColor="text1"/>
                <w:szCs w:val="24"/>
              </w:rPr>
              <w:t>5,000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8,000</w:t>
            </w:r>
            <w:r w:rsidRPr="00110EAB">
              <w:rPr>
                <w:rFonts w:ascii="Times New Roman" w:eastAsia="標楷體" w:hAnsi="Times New Roman" w:cs="Times New Roman"/>
                <w:color w:val="000000" w:themeColor="text1"/>
                <w:szCs w:val="24"/>
              </w:rPr>
              <w:t>元</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兼任協同計畫主持人</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每人月薪資</w:t>
            </w:r>
            <w:r w:rsidRPr="00110EAB">
              <w:rPr>
                <w:rFonts w:ascii="Times New Roman" w:eastAsia="標楷體" w:hAnsi="Times New Roman" w:cs="Times New Roman"/>
                <w:color w:val="000000" w:themeColor="text1"/>
                <w:szCs w:val="24"/>
              </w:rPr>
              <w:t>4,000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6,000</w:t>
            </w:r>
            <w:r w:rsidRPr="00110EAB">
              <w:rPr>
                <w:rFonts w:ascii="Times New Roman" w:eastAsia="標楷體" w:hAnsi="Times New Roman" w:cs="Times New Roman"/>
                <w:color w:val="000000" w:themeColor="text1"/>
                <w:szCs w:val="24"/>
              </w:rPr>
              <w:t>元</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兼任行政助理</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每人月薪資</w:t>
            </w:r>
            <w:r w:rsidRPr="00110EAB">
              <w:rPr>
                <w:rFonts w:ascii="Times New Roman" w:eastAsia="標楷體" w:hAnsi="Times New Roman" w:cs="Times New Roman"/>
                <w:color w:val="000000" w:themeColor="text1"/>
                <w:szCs w:val="24"/>
              </w:rPr>
              <w:t>3,000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5,000</w:t>
            </w:r>
            <w:r w:rsidRPr="00110EAB">
              <w:rPr>
                <w:rFonts w:ascii="Times New Roman" w:eastAsia="標楷體" w:hAnsi="Times New Roman" w:cs="Times New Roman"/>
                <w:color w:val="000000" w:themeColor="text1"/>
                <w:szCs w:val="24"/>
              </w:rPr>
              <w:t>元</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專任行政助理</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由執行單位考量工作內容、專業技能、獨立作業能力、相關經驗年資及預期績效表現等條件，自訂專任行政助理工作酬金標準核實支給。</w:t>
            </w:r>
            <w:r w:rsidRPr="00110EAB">
              <w:rPr>
                <w:rFonts w:ascii="Times New Roman" w:eastAsia="標楷體" w:hAnsi="Times New Roman" w:cs="Times New Roman"/>
                <w:color w:val="000000" w:themeColor="text1"/>
                <w:szCs w:val="24"/>
              </w:rPr>
              <w:t>12</w:t>
            </w:r>
            <w:r w:rsidRPr="00110EAB">
              <w:rPr>
                <w:rFonts w:ascii="Times New Roman" w:eastAsia="標楷體" w:hAnsi="Times New Roman" w:cs="Times New Roman"/>
                <w:color w:val="000000" w:themeColor="text1"/>
                <w:szCs w:val="24"/>
              </w:rPr>
              <w:t>月</w:t>
            </w:r>
            <w:r w:rsidRPr="00110EAB">
              <w:rPr>
                <w:rFonts w:ascii="Times New Roman" w:eastAsia="標楷體" w:hAnsi="Times New Roman" w:cs="Times New Roman"/>
                <w:color w:val="000000" w:themeColor="text1"/>
                <w:szCs w:val="24"/>
              </w:rPr>
              <w:t>1</w:t>
            </w:r>
            <w:r w:rsidRPr="00110EAB">
              <w:rPr>
                <w:rFonts w:ascii="Times New Roman" w:eastAsia="標楷體" w:hAnsi="Times New Roman" w:cs="Times New Roman"/>
                <w:color w:val="000000" w:themeColor="text1"/>
                <w:szCs w:val="24"/>
              </w:rPr>
              <w:t>日仍在職者，始得按當年工作月數依比率編列年終獎金。年終獎金</w:t>
            </w:r>
            <w:r w:rsidRPr="00110EAB">
              <w:rPr>
                <w:rFonts w:ascii="Times New Roman" w:eastAsia="標楷體" w:hAnsi="Times New Roman" w:cs="Times New Roman"/>
                <w:color w:val="000000" w:themeColor="text1"/>
                <w:szCs w:val="24"/>
              </w:rPr>
              <w:t>1</w:t>
            </w:r>
            <w:r w:rsidRPr="00110EAB">
              <w:rPr>
                <w:rFonts w:ascii="Times New Roman" w:eastAsia="標楷體" w:hAnsi="Times New Roman" w:cs="Times New Roman"/>
                <w:color w:val="000000" w:themeColor="text1"/>
                <w:szCs w:val="24"/>
              </w:rPr>
              <w:t>年以</w:t>
            </w:r>
            <w:r w:rsidRPr="00110EAB">
              <w:rPr>
                <w:rFonts w:ascii="Times New Roman" w:eastAsia="標楷體" w:hAnsi="Times New Roman" w:cs="Times New Roman"/>
                <w:color w:val="000000" w:themeColor="text1"/>
                <w:szCs w:val="24"/>
              </w:rPr>
              <w:t>1.5</w:t>
            </w:r>
            <w:r w:rsidRPr="00110EAB">
              <w:rPr>
                <w:rFonts w:ascii="Times New Roman" w:eastAsia="標楷體" w:hAnsi="Times New Roman" w:cs="Times New Roman"/>
                <w:color w:val="000000" w:themeColor="text1"/>
                <w:szCs w:val="24"/>
              </w:rPr>
              <w:t>個月為限。</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rPr>
          <w:trHeight w:val="956"/>
        </w:trPr>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二、業務費</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（ㄧ）</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主持費、引言費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1,000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2,500</w:t>
            </w:r>
            <w:r w:rsidRPr="00110EAB">
              <w:rPr>
                <w:rFonts w:ascii="Times New Roman" w:eastAsia="標楷體" w:hAnsi="Times New Roman" w:cs="Times New Roman"/>
                <w:color w:val="000000" w:themeColor="text1"/>
                <w:szCs w:val="24"/>
              </w:rPr>
              <w:t>元</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凡召開專題研討或與學術研究有關之主持費、引言費屬之。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諮詢費、輔導費、指導費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1,000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2,500</w:t>
            </w:r>
            <w:r w:rsidRPr="00110EAB">
              <w:rPr>
                <w:rFonts w:ascii="Times New Roman" w:eastAsia="標楷體" w:hAnsi="Times New Roman" w:cs="Times New Roman"/>
                <w:color w:val="000000" w:themeColor="text1"/>
                <w:szCs w:val="24"/>
              </w:rPr>
              <w:t>元</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得比照出席費編列。</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訪視費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1,000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4,000</w:t>
            </w:r>
            <w:r w:rsidRPr="00110EAB">
              <w:rPr>
                <w:rFonts w:ascii="Times New Roman" w:eastAsia="標楷體" w:hAnsi="Times New Roman" w:cs="Times New Roman"/>
                <w:color w:val="000000" w:themeColor="text1"/>
                <w:szCs w:val="24"/>
              </w:rPr>
              <w:t>元。</w:t>
            </w:r>
          </w:p>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半日以</w:t>
            </w:r>
            <w:r w:rsidRPr="00110EAB">
              <w:rPr>
                <w:rFonts w:ascii="Times New Roman" w:eastAsia="標楷體" w:hAnsi="Times New Roman" w:cs="Times New Roman"/>
                <w:color w:val="000000" w:themeColor="text1"/>
                <w:szCs w:val="24"/>
              </w:rPr>
              <w:t>2,500</w:t>
            </w:r>
            <w:r w:rsidRPr="00110EAB">
              <w:rPr>
                <w:rFonts w:ascii="Times New Roman" w:eastAsia="標楷體" w:hAnsi="Times New Roman" w:cs="Times New Roman"/>
                <w:color w:val="000000" w:themeColor="text1"/>
                <w:szCs w:val="24"/>
              </w:rPr>
              <w:t>元為編列上限。</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凡至各機關學校等瞭解現況，對未來發展方向提出建議，並作成訪視紀錄者屬之。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評鑑費</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2,000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6,000</w:t>
            </w:r>
            <w:r w:rsidRPr="00110EAB">
              <w:rPr>
                <w:rFonts w:ascii="Times New Roman" w:eastAsia="標楷體" w:hAnsi="Times New Roman" w:cs="Times New Roman"/>
                <w:color w:val="000000" w:themeColor="text1"/>
                <w:szCs w:val="24"/>
              </w:rPr>
              <w:t>元。</w:t>
            </w:r>
          </w:p>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半日以</w:t>
            </w:r>
            <w:r w:rsidRPr="00110EAB">
              <w:rPr>
                <w:rFonts w:ascii="Times New Roman" w:eastAsia="標楷體" w:hAnsi="Times New Roman" w:cs="Times New Roman"/>
                <w:color w:val="000000" w:themeColor="text1"/>
                <w:szCs w:val="24"/>
              </w:rPr>
              <w:t>4,000</w:t>
            </w:r>
            <w:r w:rsidRPr="00110EAB">
              <w:rPr>
                <w:rFonts w:ascii="Times New Roman" w:eastAsia="標楷體" w:hAnsi="Times New Roman" w:cs="Times New Roman"/>
                <w:color w:val="000000" w:themeColor="text1"/>
                <w:szCs w:val="24"/>
              </w:rPr>
              <w:t>元為編列上限。</w:t>
            </w:r>
          </w:p>
        </w:tc>
        <w:tc>
          <w:tcPr>
            <w:tcW w:w="4675" w:type="dxa"/>
            <w:shd w:val="clear" w:color="auto" w:fill="auto"/>
          </w:tcPr>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一、凡至各機關學校等評估計畫執行情形、目標達成效能之良窳，並作成評鑑記錄者屬之。</w:t>
            </w:r>
          </w:p>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二、如審查委員赴各機關學校等評鑑已支領評鑑費，不得再以審查各校書面資料為由，重複支給書面審查費。</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（五）</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臨時工作人</w:t>
            </w:r>
            <w:r w:rsidRPr="00110EAB">
              <w:rPr>
                <w:rFonts w:ascii="Times New Roman" w:eastAsia="標楷體" w:hAnsi="Times New Roman" w:cs="Times New Roman"/>
                <w:color w:val="000000" w:themeColor="text1"/>
                <w:szCs w:val="24"/>
              </w:rPr>
              <w:lastRenderedPageBreak/>
              <w:t>員</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工讀費</w:t>
            </w:r>
            <w:r w:rsidRPr="00110EAB">
              <w:rPr>
                <w:rFonts w:ascii="Times New Roman" w:eastAsia="標楷體" w:hAnsi="Times New Roman" w:cs="Times New Roman"/>
                <w:color w:val="000000" w:themeColor="text1"/>
                <w:szCs w:val="24"/>
              </w:rPr>
              <w:t xml:space="preserve"> </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22"/>
              </w:rPr>
              <w:lastRenderedPageBreak/>
              <w:t>薪資</w:t>
            </w:r>
            <w:r w:rsidRPr="00110EAB">
              <w:rPr>
                <w:rFonts w:ascii="Times New Roman" w:eastAsia="標楷體" w:hAnsi="Times New Roman" w:cs="Times New Roman"/>
                <w:color w:val="000000" w:themeColor="text1"/>
              </w:rPr>
              <w:t>以現行勞動基</w:t>
            </w:r>
            <w:r w:rsidRPr="00110EAB">
              <w:rPr>
                <w:rFonts w:ascii="Times New Roman" w:eastAsia="標楷體" w:hAnsi="Times New Roman" w:cs="Times New Roman"/>
                <w:color w:val="000000" w:themeColor="text1"/>
              </w:rPr>
              <w:lastRenderedPageBreak/>
              <w:t>準法所訂最低基本工資</w:t>
            </w:r>
            <w:r w:rsidRPr="00110EAB">
              <w:rPr>
                <w:rFonts w:ascii="Times New Roman" w:eastAsia="標楷體" w:hAnsi="Times New Roman" w:cs="Times New Roman"/>
                <w:color w:val="000000" w:themeColor="text1"/>
              </w:rPr>
              <w:t>1.2</w:t>
            </w:r>
            <w:r w:rsidRPr="00110EAB">
              <w:rPr>
                <w:rFonts w:ascii="Times New Roman" w:eastAsia="標楷體" w:hAnsi="Times New Roman" w:cs="Times New Roman"/>
                <w:color w:val="000000" w:themeColor="text1"/>
              </w:rPr>
              <w:t>倍為支給上限，然不得低於勞動基準法所訂之最低基本工資。但大專校院如訂有支給規定者，得依其規定支給。</w:t>
            </w:r>
          </w:p>
        </w:tc>
        <w:tc>
          <w:tcPr>
            <w:tcW w:w="4675" w:type="dxa"/>
            <w:shd w:val="clear" w:color="auto" w:fill="auto"/>
          </w:tcPr>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lastRenderedPageBreak/>
              <w:t>一、應依工作內容及性質核實編列。</w:t>
            </w:r>
          </w:p>
          <w:p w:rsidR="000C4C9F" w:rsidRPr="00110EAB" w:rsidRDefault="000C4C9F" w:rsidP="00EC3124">
            <w:pPr>
              <w:tabs>
                <w:tab w:val="left" w:pos="6240"/>
              </w:tabs>
              <w:ind w:leftChars="-2" w:left="417" w:hangingChars="176" w:hanging="422"/>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lastRenderedPageBreak/>
              <w:t>二、所列費用應含薪資、退休金、保險及其他依法應給予項目。</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lastRenderedPageBreak/>
              <w:t>（六）</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印刷費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核實編列</w:t>
            </w:r>
          </w:p>
        </w:tc>
        <w:tc>
          <w:tcPr>
            <w:tcW w:w="4675" w:type="dxa"/>
            <w:shd w:val="clear" w:color="auto" w:fill="auto"/>
          </w:tcPr>
          <w:p w:rsidR="000C4C9F" w:rsidRPr="00110EAB" w:rsidRDefault="000C4C9F" w:rsidP="002835C4">
            <w:pPr>
              <w:pStyle w:val="a7"/>
              <w:numPr>
                <w:ilvl w:val="0"/>
                <w:numId w:val="23"/>
              </w:numPr>
              <w:tabs>
                <w:tab w:val="left" w:pos="6240"/>
              </w:tabs>
              <w:ind w:leftChars="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為撙節印刷費用支出，各種文件印刷，應以實用為主，力避豪華精美，並儘量先採光碟版或網路版方式辦理。</w:t>
            </w:r>
          </w:p>
          <w:p w:rsidR="000C4C9F" w:rsidRPr="00110EAB" w:rsidRDefault="000C4C9F" w:rsidP="002835C4">
            <w:pPr>
              <w:pStyle w:val="a7"/>
              <w:numPr>
                <w:ilvl w:val="0"/>
                <w:numId w:val="23"/>
              </w:numPr>
              <w:tabs>
                <w:tab w:val="left" w:pos="6240"/>
              </w:tabs>
              <w:ind w:leftChars="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印刷費須依政府採購法規定程序辦理招標或比議價，檢附承印廠商發票核實報支。</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（七）</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資料蒐集費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上限</w:t>
            </w:r>
            <w:r w:rsidRPr="00110EAB">
              <w:rPr>
                <w:rFonts w:ascii="Times New Roman" w:eastAsia="標楷體" w:hAnsi="Times New Roman" w:cs="Times New Roman"/>
                <w:color w:val="000000" w:themeColor="text1"/>
                <w:szCs w:val="24"/>
              </w:rPr>
              <w:t>30,000</w:t>
            </w:r>
            <w:r w:rsidRPr="00110EAB">
              <w:rPr>
                <w:rFonts w:ascii="Times New Roman" w:eastAsia="標楷體" w:hAnsi="Times New Roman" w:cs="Times New Roman"/>
                <w:color w:val="000000" w:themeColor="text1"/>
                <w:szCs w:val="24"/>
              </w:rPr>
              <w:t>元</w:t>
            </w:r>
            <w:r w:rsidRPr="00110EAB">
              <w:rPr>
                <w:rFonts w:ascii="Times New Roman" w:eastAsia="標楷體" w:hAnsi="Times New Roman" w:cs="Times New Roman"/>
                <w:color w:val="000000" w:themeColor="text1"/>
              </w:rPr>
              <w:t>。</w:t>
            </w:r>
          </w:p>
        </w:tc>
        <w:tc>
          <w:tcPr>
            <w:tcW w:w="4675" w:type="dxa"/>
            <w:shd w:val="clear" w:color="auto" w:fill="auto"/>
          </w:tcPr>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一、凡辦理計畫所須購置或影印必需之參考圖書資料等屬之。</w:t>
            </w:r>
          </w:p>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二、圖書之購置以具有專門性且與計畫直接有關者為限。</w:t>
            </w:r>
          </w:p>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三、擬購圖書應詳列其名稱、數量、單價及總價於計畫申請書中。</w:t>
            </w:r>
          </w:p>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四、檢附廠商發票核實報支。</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（八）</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資料檢索費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rPr>
              <w:t>核實編列。</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辦理計畫所需資料檢索費，其經費應依需求核實編列。</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（九）</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膳宿費</w:t>
            </w:r>
          </w:p>
        </w:tc>
        <w:tc>
          <w:tcPr>
            <w:tcW w:w="2097" w:type="dxa"/>
            <w:shd w:val="clear" w:color="auto" w:fill="auto"/>
          </w:tcPr>
          <w:p w:rsidR="000C4C9F" w:rsidRPr="00110EAB" w:rsidRDefault="000C4C9F" w:rsidP="00EC3124">
            <w:pPr>
              <w:tabs>
                <w:tab w:val="left" w:pos="6240"/>
              </w:tabs>
              <w:ind w:left="458" w:hangingChars="191" w:hanging="45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一、依教育部及所屬機關（構）辦理各類會議講習訓練與研討（習）會管理要點規定。</w:t>
            </w:r>
          </w:p>
          <w:p w:rsidR="000C4C9F" w:rsidRPr="00110EAB" w:rsidRDefault="000C4C9F" w:rsidP="00EC3124">
            <w:pPr>
              <w:tabs>
                <w:tab w:val="left" w:pos="6240"/>
              </w:tabs>
              <w:ind w:left="458" w:hangingChars="191" w:hanging="45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二、辦理半日者，每人膳費上限</w:t>
            </w:r>
            <w:r w:rsidRPr="00110EAB">
              <w:rPr>
                <w:rFonts w:ascii="Times New Roman" w:eastAsia="標楷體" w:hAnsi="Times New Roman" w:cs="Times New Roman"/>
                <w:color w:val="000000" w:themeColor="text1"/>
                <w:szCs w:val="24"/>
              </w:rPr>
              <w:t>120</w:t>
            </w:r>
            <w:r w:rsidRPr="00110EAB">
              <w:rPr>
                <w:rFonts w:ascii="Times New Roman" w:eastAsia="標楷體" w:hAnsi="Times New Roman" w:cs="Times New Roman"/>
                <w:color w:val="000000" w:themeColor="text1"/>
                <w:szCs w:val="24"/>
              </w:rPr>
              <w:t>元。</w:t>
            </w:r>
          </w:p>
        </w:tc>
        <w:tc>
          <w:tcPr>
            <w:tcW w:w="4675" w:type="dxa"/>
            <w:shd w:val="clear" w:color="auto" w:fill="auto"/>
          </w:tcPr>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一、所需經費應依預定議程覈實編列。</w:t>
            </w:r>
          </w:p>
          <w:p w:rsidR="000C4C9F" w:rsidRPr="00110EAB" w:rsidRDefault="000C4C9F" w:rsidP="00EC3124">
            <w:pPr>
              <w:tabs>
                <w:tab w:val="left" w:pos="6240"/>
              </w:tabs>
              <w:ind w:left="494" w:hangingChars="206" w:hanging="494"/>
              <w:jc w:val="both"/>
              <w:rPr>
                <w:rFonts w:ascii="Times New Roman" w:eastAsia="標楷體" w:hAnsi="Times New Roman" w:cs="Times New Roman"/>
                <w:color w:val="000000" w:themeColor="text1"/>
                <w:kern w:val="0"/>
              </w:rPr>
            </w:pPr>
            <w:r w:rsidRPr="00110EAB">
              <w:rPr>
                <w:rFonts w:ascii="Times New Roman" w:eastAsia="標楷體" w:hAnsi="Times New Roman" w:cs="Times New Roman"/>
                <w:color w:val="000000" w:themeColor="text1"/>
                <w:szCs w:val="24"/>
              </w:rPr>
              <w:t>二、應本撙節原則辦理，並得視實際</w:t>
            </w:r>
            <w:r w:rsidRPr="00110EAB">
              <w:rPr>
                <w:rFonts w:ascii="Times New Roman" w:eastAsia="標楷體" w:hAnsi="Times New Roman" w:cs="Times New Roman"/>
                <w:color w:val="000000" w:themeColor="text1"/>
                <w:kern w:val="0"/>
              </w:rPr>
              <w:t>需要依各基準核算之總額範圍內互相調整支應。</w:t>
            </w:r>
          </w:p>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三、如於本項膳宿費以外再發給外賓其他酬勞者，其支付費用總額仍應不得超出行政院所訂「各機關聘請國外顧問、專家及學者來臺工作期間支付費用最高標準表」規定。</w:t>
            </w:r>
          </w:p>
        </w:tc>
      </w:tr>
      <w:tr w:rsidR="000C4C9F" w:rsidRPr="00110EAB" w:rsidTr="00EC3124">
        <w:trPr>
          <w:trHeight w:val="293"/>
        </w:trPr>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（十）</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保險費</w:t>
            </w:r>
          </w:p>
        </w:tc>
        <w:tc>
          <w:tcPr>
            <w:tcW w:w="2097"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核實編列。</w:t>
            </w:r>
          </w:p>
        </w:tc>
        <w:tc>
          <w:tcPr>
            <w:tcW w:w="4675"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凡辦理各類會議、講習訓練與研討（習）會及其他活動所需之保險費屬之。</w:t>
            </w:r>
          </w:p>
        </w:tc>
      </w:tr>
      <w:tr w:rsidR="000C4C9F" w:rsidRPr="00110EAB" w:rsidTr="00EC3124">
        <w:trPr>
          <w:trHeight w:val="670"/>
        </w:trPr>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（十一）</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pacing w:val="-14"/>
                <w:szCs w:val="24"/>
              </w:rPr>
              <w:t>場地使用費</w:t>
            </w:r>
          </w:p>
        </w:tc>
        <w:tc>
          <w:tcPr>
            <w:tcW w:w="2097"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核實編列。</w:t>
            </w:r>
          </w:p>
        </w:tc>
        <w:tc>
          <w:tcPr>
            <w:tcW w:w="4675" w:type="dxa"/>
            <w:shd w:val="clear" w:color="auto" w:fill="auto"/>
          </w:tcPr>
          <w:p w:rsidR="000C4C9F" w:rsidRPr="00110EAB" w:rsidRDefault="000C4C9F" w:rsidP="002835C4">
            <w:pPr>
              <w:numPr>
                <w:ilvl w:val="0"/>
                <w:numId w:val="22"/>
              </w:numPr>
              <w:snapToGrid w:val="0"/>
              <w:spacing w:line="28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補助案件不補助內部場地使用費。</w:t>
            </w:r>
          </w:p>
          <w:p w:rsidR="000C4C9F" w:rsidRPr="00110EAB" w:rsidRDefault="000C4C9F" w:rsidP="002835C4">
            <w:pPr>
              <w:numPr>
                <w:ilvl w:val="0"/>
                <w:numId w:val="22"/>
              </w:numPr>
              <w:snapToGrid w:val="0"/>
              <w:spacing w:line="28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zCs w:val="24"/>
              </w:rPr>
              <w:t>凡辦理研討會、研習會所需租借場地使用費屬之。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 w:val="22"/>
              </w:rPr>
              <w:lastRenderedPageBreak/>
              <w:t>（十二）</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設備使用費</w:t>
            </w:r>
          </w:p>
        </w:tc>
        <w:tc>
          <w:tcPr>
            <w:tcW w:w="2097"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pacing w:val="-18"/>
                <w:sz w:val="20"/>
              </w:rPr>
            </w:pPr>
            <w:r w:rsidRPr="00110EAB">
              <w:rPr>
                <w:rFonts w:ascii="Times New Roman" w:eastAsia="標楷體" w:hAnsi="Times New Roman" w:cs="Times New Roman"/>
                <w:color w:val="000000" w:themeColor="text1"/>
              </w:rPr>
              <w:t>核實編列。</w:t>
            </w:r>
          </w:p>
        </w:tc>
        <w:tc>
          <w:tcPr>
            <w:tcW w:w="4675" w:type="dxa"/>
            <w:shd w:val="clear" w:color="auto" w:fill="auto"/>
          </w:tcPr>
          <w:p w:rsidR="000C4C9F" w:rsidRPr="00110EAB" w:rsidRDefault="000C4C9F" w:rsidP="002835C4">
            <w:pPr>
              <w:numPr>
                <w:ilvl w:val="0"/>
                <w:numId w:val="25"/>
              </w:numPr>
              <w:snapToGrid w:val="0"/>
              <w:spacing w:line="30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各執行單位因執行計畫，所分攤之電腦、儀器設備或軟體使用費用。</w:t>
            </w:r>
          </w:p>
          <w:p w:rsidR="000C4C9F" w:rsidRPr="00110EAB" w:rsidRDefault="000C4C9F" w:rsidP="002835C4">
            <w:pPr>
              <w:numPr>
                <w:ilvl w:val="0"/>
                <w:numId w:val="25"/>
              </w:numPr>
              <w:snapToGrid w:val="0"/>
              <w:spacing w:line="30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如出具領據報支，應檢附計算標準、實際使用時數及耗材支用情形等支出數據資料。</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 w:val="22"/>
              </w:rPr>
              <w:t>（十三）</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雜支</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凡前項費用未列之辦公事務費用屬之。如文具用品、紙張、資訊耗材、資料夾、郵資等屬之。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 w:val="22"/>
              </w:rPr>
              <w:t>（十四）</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其他（請註明項目名稱）</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依行政院或計畫各項經費支用規定。</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依計畫各項支用用途說明。</w:t>
            </w:r>
          </w:p>
        </w:tc>
      </w:tr>
      <w:tr w:rsidR="000C4C9F" w:rsidRPr="00110EAB" w:rsidTr="00EC3124">
        <w:tc>
          <w:tcPr>
            <w:tcW w:w="1502" w:type="dxa"/>
            <w:shd w:val="clear" w:color="auto" w:fill="auto"/>
          </w:tcPr>
          <w:p w:rsidR="000C4C9F" w:rsidRPr="00110EAB" w:rsidRDefault="000C4C9F" w:rsidP="00EC3124">
            <w:pPr>
              <w:tabs>
                <w:tab w:val="left" w:pos="6240"/>
              </w:tabs>
              <w:spacing w:line="280" w:lineRule="exact"/>
              <w:ind w:left="480" w:hangingChars="200" w:hanging="480"/>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三、行政管理費</w:t>
            </w:r>
          </w:p>
        </w:tc>
        <w:tc>
          <w:tcPr>
            <w:tcW w:w="1524" w:type="dxa"/>
            <w:shd w:val="clear" w:color="auto" w:fill="auto"/>
          </w:tcPr>
          <w:p w:rsidR="000C4C9F" w:rsidRPr="00110EAB" w:rsidRDefault="000C4C9F" w:rsidP="00EC3124">
            <w:pPr>
              <w:tabs>
                <w:tab w:val="left" w:pos="6240"/>
              </w:tabs>
              <w:spacing w:line="280" w:lineRule="exact"/>
              <w:ind w:left="480" w:hangingChars="200" w:hanging="480"/>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spacing w:line="280" w:lineRule="exact"/>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一、依業務費之金額級距，分段乘算下列比率後加總：</w:t>
            </w:r>
            <w:r w:rsidRPr="00110EAB">
              <w:rPr>
                <w:rFonts w:ascii="Times New Roman" w:eastAsia="標楷體" w:hAnsi="Times New Roman" w:cs="Times New Roman"/>
                <w:color w:val="000000" w:themeColor="text1"/>
                <w:szCs w:val="24"/>
              </w:rPr>
              <w:t xml:space="preserve"> </w:t>
            </w:r>
          </w:p>
          <w:p w:rsidR="000C4C9F" w:rsidRPr="00110EAB" w:rsidRDefault="000C4C9F" w:rsidP="00EC3124">
            <w:pPr>
              <w:tabs>
                <w:tab w:val="left" w:pos="6240"/>
              </w:tabs>
              <w:spacing w:line="280" w:lineRule="exact"/>
              <w:ind w:leftChars="100" w:left="72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（一）業務費</w:t>
            </w:r>
            <w:r w:rsidRPr="00110EAB">
              <w:rPr>
                <w:rFonts w:ascii="Times New Roman" w:eastAsia="標楷體" w:hAnsi="Times New Roman" w:cs="Times New Roman"/>
                <w:color w:val="000000" w:themeColor="text1"/>
                <w:szCs w:val="24"/>
              </w:rPr>
              <w:t>300</w:t>
            </w:r>
            <w:r w:rsidRPr="00110EAB">
              <w:rPr>
                <w:rFonts w:ascii="Times New Roman" w:eastAsia="標楷體" w:hAnsi="Times New Roman" w:cs="Times New Roman"/>
                <w:color w:val="000000" w:themeColor="text1"/>
                <w:szCs w:val="24"/>
              </w:rPr>
              <w:t>萬元（含）以下者，得按業務費</w:t>
            </w:r>
            <w:r w:rsidRPr="00110EAB">
              <w:rPr>
                <w:rFonts w:ascii="Times New Roman" w:eastAsia="標楷體" w:hAnsi="Times New Roman" w:cs="Times New Roman"/>
                <w:color w:val="000000" w:themeColor="text1"/>
                <w:szCs w:val="24"/>
              </w:rPr>
              <w:t>*10%</w:t>
            </w:r>
            <w:r w:rsidRPr="00110EAB">
              <w:rPr>
                <w:rFonts w:ascii="Times New Roman" w:eastAsia="標楷體" w:hAnsi="Times New Roman" w:cs="Times New Roman"/>
                <w:color w:val="000000" w:themeColor="text1"/>
                <w:szCs w:val="24"/>
              </w:rPr>
              <w:t>以內編列。</w:t>
            </w:r>
          </w:p>
          <w:p w:rsidR="000C4C9F" w:rsidRPr="00110EAB" w:rsidRDefault="000C4C9F" w:rsidP="00EC3124">
            <w:pPr>
              <w:tabs>
                <w:tab w:val="left" w:pos="6240"/>
              </w:tabs>
              <w:spacing w:line="280" w:lineRule="exact"/>
              <w:ind w:leftChars="100" w:left="72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（二）業務費超過</w:t>
            </w:r>
            <w:r w:rsidRPr="00110EAB">
              <w:rPr>
                <w:rFonts w:ascii="Times New Roman" w:eastAsia="標楷體" w:hAnsi="Times New Roman" w:cs="Times New Roman"/>
                <w:color w:val="000000" w:themeColor="text1"/>
                <w:szCs w:val="24"/>
              </w:rPr>
              <w:t>300</w:t>
            </w:r>
            <w:r w:rsidRPr="00110EAB">
              <w:rPr>
                <w:rFonts w:ascii="Times New Roman" w:eastAsia="標楷體" w:hAnsi="Times New Roman" w:cs="Times New Roman"/>
                <w:color w:val="000000" w:themeColor="text1"/>
                <w:szCs w:val="24"/>
              </w:rPr>
              <w:t>萬元以上部分，得按超過部分</w:t>
            </w:r>
            <w:r w:rsidRPr="00110EAB">
              <w:rPr>
                <w:rFonts w:ascii="Times New Roman" w:eastAsia="標楷體" w:hAnsi="Times New Roman" w:cs="Times New Roman"/>
                <w:color w:val="000000" w:themeColor="text1"/>
                <w:szCs w:val="24"/>
              </w:rPr>
              <w:t>*5%</w:t>
            </w:r>
            <w:r w:rsidRPr="00110EAB">
              <w:rPr>
                <w:rFonts w:ascii="Times New Roman" w:eastAsia="標楷體" w:hAnsi="Times New Roman" w:cs="Times New Roman"/>
                <w:color w:val="000000" w:themeColor="text1"/>
                <w:szCs w:val="24"/>
              </w:rPr>
              <w:t>以內編列。</w:t>
            </w:r>
          </w:p>
          <w:p w:rsidR="000C4C9F" w:rsidRPr="00110EAB" w:rsidRDefault="000C4C9F" w:rsidP="00EC3124">
            <w:pPr>
              <w:tabs>
                <w:tab w:val="left" w:pos="6240"/>
              </w:tabs>
              <w:spacing w:line="280" w:lineRule="exact"/>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二、行政管理費上限為</w:t>
            </w:r>
            <w:r w:rsidRPr="00110EAB">
              <w:rPr>
                <w:rFonts w:ascii="Times New Roman" w:eastAsia="標楷體" w:hAnsi="Times New Roman" w:cs="Times New Roman"/>
                <w:color w:val="000000" w:themeColor="text1"/>
                <w:szCs w:val="24"/>
              </w:rPr>
              <w:t>60</w:t>
            </w:r>
            <w:r w:rsidRPr="00110EAB">
              <w:rPr>
                <w:rFonts w:ascii="Times New Roman" w:eastAsia="標楷體" w:hAnsi="Times New Roman" w:cs="Times New Roman"/>
                <w:color w:val="000000" w:themeColor="text1"/>
                <w:szCs w:val="24"/>
              </w:rPr>
              <w:t>萬元，但因特殊需要經本部同意者，不在此限。</w:t>
            </w:r>
          </w:p>
          <w:p w:rsidR="000C4C9F" w:rsidRPr="00110EAB" w:rsidRDefault="000C4C9F" w:rsidP="00EC3124">
            <w:pPr>
              <w:tabs>
                <w:tab w:val="left" w:pos="6240"/>
              </w:tabs>
              <w:spacing w:line="280" w:lineRule="exact"/>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三、有關行政管理費已涵蓋之經費項目，除特別需求外，不得重複編列。</w:t>
            </w:r>
          </w:p>
        </w:tc>
        <w:tc>
          <w:tcPr>
            <w:tcW w:w="4675" w:type="dxa"/>
            <w:shd w:val="clear" w:color="auto" w:fill="auto"/>
          </w:tcPr>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一、執行單位</w:t>
            </w:r>
            <w:r w:rsidRPr="00110EAB">
              <w:rPr>
                <w:rFonts w:ascii="Times New Roman" w:eastAsia="標楷體" w:hAnsi="Times New Roman" w:cs="Times New Roman"/>
                <w:color w:val="000000" w:themeColor="text1"/>
              </w:rPr>
              <w:t>因辦理計畫所支付</w:t>
            </w:r>
            <w:r w:rsidRPr="00110EAB">
              <w:rPr>
                <w:rFonts w:ascii="Times New Roman" w:eastAsia="標楷體" w:hAnsi="Times New Roman" w:cs="Times New Roman"/>
                <w:color w:val="000000" w:themeColor="text1"/>
                <w:szCs w:val="24"/>
              </w:rPr>
              <w:t>不屬前述費用之水電費、電話費及設備維護費等等屬之。</w:t>
            </w:r>
          </w:p>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二、補（捐）助案件不補（捐）助本項經費，但因配合本部政策者，不在此限。</w:t>
            </w:r>
          </w:p>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三、本項經費除經本部同意者外，不得流入。</w:t>
            </w:r>
          </w:p>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四、依本部</w:t>
            </w:r>
            <w:r w:rsidRPr="00110EAB">
              <w:rPr>
                <w:rFonts w:ascii="Times New Roman" w:eastAsia="標楷體" w:hAnsi="Times New Roman" w:cs="Times New Roman"/>
                <w:color w:val="000000" w:themeColor="text1"/>
                <w:szCs w:val="24"/>
              </w:rPr>
              <w:t>83</w:t>
            </w:r>
            <w:r w:rsidRPr="00110EAB">
              <w:rPr>
                <w:rFonts w:ascii="Times New Roman" w:eastAsia="標楷體" w:hAnsi="Times New Roman" w:cs="Times New Roman"/>
                <w:color w:val="000000" w:themeColor="text1"/>
                <w:szCs w:val="24"/>
              </w:rPr>
              <w:t>年</w:t>
            </w:r>
            <w:r w:rsidRPr="00110EAB">
              <w:rPr>
                <w:rFonts w:ascii="Times New Roman" w:eastAsia="標楷體" w:hAnsi="Times New Roman" w:cs="Times New Roman"/>
                <w:color w:val="000000" w:themeColor="text1"/>
                <w:szCs w:val="24"/>
              </w:rPr>
              <w:t>12</w:t>
            </w:r>
            <w:r w:rsidRPr="00110EAB">
              <w:rPr>
                <w:rFonts w:ascii="Times New Roman" w:eastAsia="標楷體" w:hAnsi="Times New Roman" w:cs="Times New Roman"/>
                <w:color w:val="000000" w:themeColor="text1"/>
                <w:szCs w:val="24"/>
              </w:rPr>
              <w:t>月</w:t>
            </w:r>
            <w:r w:rsidRPr="00110EAB">
              <w:rPr>
                <w:rFonts w:ascii="Times New Roman" w:eastAsia="標楷體" w:hAnsi="Times New Roman" w:cs="Times New Roman"/>
                <w:color w:val="000000" w:themeColor="text1"/>
                <w:szCs w:val="24"/>
              </w:rPr>
              <w:t>8</w:t>
            </w:r>
            <w:r w:rsidRPr="00110EAB">
              <w:rPr>
                <w:rFonts w:ascii="Times New Roman" w:eastAsia="標楷體" w:hAnsi="Times New Roman" w:cs="Times New Roman"/>
                <w:color w:val="000000" w:themeColor="text1"/>
                <w:szCs w:val="24"/>
              </w:rPr>
              <w:t>日台</w:t>
            </w:r>
            <w:r w:rsidRPr="00110EAB">
              <w:rPr>
                <w:rFonts w:ascii="Times New Roman" w:eastAsia="標楷體" w:hAnsi="Times New Roman" w:cs="Times New Roman"/>
                <w:color w:val="000000" w:themeColor="text1"/>
                <w:szCs w:val="24"/>
              </w:rPr>
              <w:t>83</w:t>
            </w:r>
            <w:r w:rsidRPr="00110EAB">
              <w:rPr>
                <w:rFonts w:ascii="Times New Roman" w:eastAsia="標楷體" w:hAnsi="Times New Roman" w:cs="Times New Roman"/>
                <w:color w:val="000000" w:themeColor="text1"/>
                <w:szCs w:val="24"/>
              </w:rPr>
              <w:t>會</w:t>
            </w:r>
            <w:r w:rsidRPr="00110EAB">
              <w:rPr>
                <w:rFonts w:ascii="Times New Roman" w:eastAsia="標楷體" w:hAnsi="Times New Roman" w:cs="Times New Roman"/>
                <w:color w:val="000000" w:themeColor="text1"/>
                <w:szCs w:val="24"/>
              </w:rPr>
              <w:t>066545</w:t>
            </w:r>
            <w:r w:rsidRPr="00110EAB">
              <w:rPr>
                <w:rFonts w:ascii="Times New Roman" w:eastAsia="標楷體" w:hAnsi="Times New Roman" w:cs="Times New Roman"/>
                <w:color w:val="000000" w:themeColor="text1"/>
                <w:szCs w:val="24"/>
              </w:rPr>
              <w:t>號函，行政管理費以計畫執行單位出具之領據結報。</w:t>
            </w:r>
          </w:p>
        </w:tc>
      </w:tr>
      <w:tr w:rsidR="000C4C9F" w:rsidRPr="00110EAB" w:rsidTr="00EC3124">
        <w:tc>
          <w:tcPr>
            <w:tcW w:w="1502" w:type="dxa"/>
            <w:shd w:val="clear" w:color="auto" w:fill="auto"/>
          </w:tcPr>
          <w:p w:rsidR="000C4C9F" w:rsidRPr="00110EAB" w:rsidRDefault="000C4C9F" w:rsidP="00EC3124">
            <w:pPr>
              <w:tabs>
                <w:tab w:val="left" w:pos="6240"/>
              </w:tabs>
              <w:spacing w:line="280" w:lineRule="exact"/>
              <w:ind w:left="480" w:hangingChars="200" w:hanging="480"/>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四、設備及投資</w:t>
            </w:r>
          </w:p>
        </w:tc>
        <w:tc>
          <w:tcPr>
            <w:tcW w:w="1524" w:type="dxa"/>
            <w:shd w:val="clear" w:color="auto" w:fill="auto"/>
          </w:tcPr>
          <w:p w:rsidR="000C4C9F" w:rsidRPr="00110EAB" w:rsidRDefault="000C4C9F" w:rsidP="00EC3124">
            <w:pPr>
              <w:tabs>
                <w:tab w:val="left" w:pos="6240"/>
              </w:tabs>
              <w:spacing w:line="280" w:lineRule="exac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其他（請註明項目名稱）</w:t>
            </w:r>
          </w:p>
        </w:tc>
        <w:tc>
          <w:tcPr>
            <w:tcW w:w="2097" w:type="dxa"/>
            <w:shd w:val="clear" w:color="auto" w:fill="auto"/>
          </w:tcPr>
          <w:p w:rsidR="000C4C9F" w:rsidRPr="00110EAB" w:rsidRDefault="000C4C9F" w:rsidP="002835C4">
            <w:pPr>
              <w:pStyle w:val="a7"/>
              <w:numPr>
                <w:ilvl w:val="0"/>
                <w:numId w:val="24"/>
              </w:numPr>
              <w:tabs>
                <w:tab w:val="left" w:pos="6240"/>
              </w:tabs>
              <w:spacing w:line="280" w:lineRule="exact"/>
              <w:ind w:leftChars="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依行政院或計畫各項經費支用規定。</w:t>
            </w:r>
          </w:p>
          <w:p w:rsidR="000C4C9F" w:rsidRPr="00110EAB" w:rsidRDefault="000C4C9F" w:rsidP="002835C4">
            <w:pPr>
              <w:pStyle w:val="a7"/>
              <w:numPr>
                <w:ilvl w:val="0"/>
                <w:numId w:val="24"/>
              </w:numPr>
              <w:tabs>
                <w:tab w:val="left" w:pos="6240"/>
              </w:tabs>
              <w:spacing w:line="280" w:lineRule="exact"/>
              <w:ind w:leftChars="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資訊設備應依行政院主計總處公告之共同性費用編列基準表規定編列。</w:t>
            </w:r>
          </w:p>
        </w:tc>
        <w:tc>
          <w:tcPr>
            <w:tcW w:w="4675" w:type="dxa"/>
            <w:shd w:val="clear" w:color="auto" w:fill="auto"/>
          </w:tcPr>
          <w:p w:rsidR="000C4C9F" w:rsidRPr="00110EAB" w:rsidRDefault="000C4C9F" w:rsidP="00EC3124">
            <w:pPr>
              <w:tabs>
                <w:tab w:val="left" w:pos="6240"/>
              </w:tabs>
              <w:spacing w:line="28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應依行政院訂定之「財物標準分類」及行政院主計總處訂定之「各類歲入、歲出預算經常、資本門劃分標準」規定。</w:t>
            </w:r>
          </w:p>
        </w:tc>
      </w:tr>
    </w:tbl>
    <w:p w:rsidR="000C4C9F" w:rsidRDefault="000C4C9F">
      <w:r>
        <w:br w:type="page"/>
      </w:r>
    </w:p>
    <w:sectPr w:rsidR="000C4C9F" w:rsidSect="002A5AC5">
      <w:footerReference w:type="default" r:id="rId7"/>
      <w:footerReference w:type="first" r:id="rId8"/>
      <w:pgSz w:w="11906" w:h="16838"/>
      <w:pgMar w:top="720" w:right="720" w:bottom="72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9E" w:rsidRDefault="0027779E" w:rsidP="00CB14E0">
      <w:r>
        <w:separator/>
      </w:r>
    </w:p>
  </w:endnote>
  <w:endnote w:type="continuationSeparator" w:id="0">
    <w:p w:rsidR="0027779E" w:rsidRDefault="0027779E" w:rsidP="00CB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22098"/>
      <w:docPartObj>
        <w:docPartGallery w:val="Page Numbers (Bottom of Page)"/>
        <w:docPartUnique/>
      </w:docPartObj>
    </w:sdtPr>
    <w:sdtEndPr/>
    <w:sdtContent>
      <w:p w:rsidR="008458F2" w:rsidRPr="00AE4340" w:rsidRDefault="008458F2">
        <w:pPr>
          <w:pStyle w:val="a5"/>
          <w:jc w:val="center"/>
        </w:pPr>
        <w:r w:rsidRPr="00AE4340">
          <w:fldChar w:fldCharType="begin"/>
        </w:r>
        <w:r w:rsidRPr="00AE4340">
          <w:instrText>PAGE   \* MERGEFORMAT</w:instrText>
        </w:r>
        <w:r w:rsidRPr="00AE4340">
          <w:fldChar w:fldCharType="separate"/>
        </w:r>
        <w:r w:rsidR="006A4850" w:rsidRPr="006A4850">
          <w:rPr>
            <w:noProof/>
            <w:lang w:val="zh-TW"/>
          </w:rPr>
          <w:t>2</w:t>
        </w:r>
        <w:r w:rsidRPr="00AE4340">
          <w:fldChar w:fldCharType="end"/>
        </w:r>
      </w:p>
    </w:sdtContent>
  </w:sdt>
  <w:p w:rsidR="008458F2" w:rsidRDefault="008458F2">
    <w:pPr>
      <w:pStyle w:val="a5"/>
    </w:pPr>
  </w:p>
  <w:p w:rsidR="008458F2" w:rsidRDefault="008458F2"/>
  <w:p w:rsidR="008458F2" w:rsidRDefault="008458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244228"/>
      <w:docPartObj>
        <w:docPartGallery w:val="Page Numbers (Bottom of Page)"/>
        <w:docPartUnique/>
      </w:docPartObj>
    </w:sdtPr>
    <w:sdtEndPr/>
    <w:sdtContent>
      <w:p w:rsidR="008458F2" w:rsidRDefault="008458F2">
        <w:pPr>
          <w:pStyle w:val="a5"/>
          <w:jc w:val="center"/>
        </w:pPr>
        <w:r>
          <w:fldChar w:fldCharType="begin"/>
        </w:r>
        <w:r>
          <w:instrText>PAGE   \* MERGEFORMAT</w:instrText>
        </w:r>
        <w:r>
          <w:fldChar w:fldCharType="separate"/>
        </w:r>
        <w:r w:rsidR="006A4850" w:rsidRPr="006A4850">
          <w:rPr>
            <w:noProof/>
            <w:lang w:val="zh-TW"/>
          </w:rPr>
          <w:t>1</w:t>
        </w:r>
        <w:r>
          <w:fldChar w:fldCharType="end"/>
        </w:r>
      </w:p>
    </w:sdtContent>
  </w:sdt>
  <w:p w:rsidR="008458F2" w:rsidRDefault="00845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9E" w:rsidRDefault="0027779E" w:rsidP="00CB14E0">
      <w:r>
        <w:separator/>
      </w:r>
    </w:p>
  </w:footnote>
  <w:footnote w:type="continuationSeparator" w:id="0">
    <w:p w:rsidR="0027779E" w:rsidRDefault="0027779E" w:rsidP="00CB1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F0F"/>
    <w:multiLevelType w:val="multilevel"/>
    <w:tmpl w:val="1C88E130"/>
    <w:styleLink w:val="WWNum6"/>
    <w:lvl w:ilvl="0">
      <w:start w:val="1"/>
      <w:numFmt w:val="decimal"/>
      <w:lvlText w:val="%1."/>
      <w:lvlJc w:val="left"/>
      <w:pPr>
        <w:ind w:left="2487" w:hanging="360"/>
      </w:pPr>
    </w:lvl>
    <w:lvl w:ilvl="1">
      <w:start w:val="1"/>
      <w:numFmt w:val="ideographTraditional"/>
      <w:lvlText w:val="%2、"/>
      <w:lvlJc w:val="left"/>
      <w:pPr>
        <w:ind w:left="3087" w:hanging="480"/>
      </w:pPr>
    </w:lvl>
    <w:lvl w:ilvl="2">
      <w:start w:val="1"/>
      <w:numFmt w:val="lowerRoman"/>
      <w:lvlText w:val="%3."/>
      <w:lvlJc w:val="right"/>
      <w:pPr>
        <w:ind w:left="3567" w:hanging="480"/>
      </w:pPr>
    </w:lvl>
    <w:lvl w:ilvl="3">
      <w:start w:val="1"/>
      <w:numFmt w:val="decimal"/>
      <w:lvlText w:val="%4."/>
      <w:lvlJc w:val="left"/>
      <w:pPr>
        <w:ind w:left="4047" w:hanging="480"/>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5487" w:hanging="480"/>
      </w:pPr>
    </w:lvl>
    <w:lvl w:ilvl="7">
      <w:start w:val="1"/>
      <w:numFmt w:val="ideographTraditional"/>
      <w:lvlText w:val="%8、"/>
      <w:lvlJc w:val="left"/>
      <w:pPr>
        <w:ind w:left="5967" w:hanging="480"/>
      </w:pPr>
    </w:lvl>
    <w:lvl w:ilvl="8">
      <w:start w:val="1"/>
      <w:numFmt w:val="lowerRoman"/>
      <w:lvlText w:val="%9."/>
      <w:lvlJc w:val="right"/>
      <w:pPr>
        <w:ind w:left="6447" w:hanging="480"/>
      </w:pPr>
    </w:lvl>
  </w:abstractNum>
  <w:abstractNum w:abstractNumId="1" w15:restartNumberingAfterBreak="0">
    <w:nsid w:val="0B8F246F"/>
    <w:multiLevelType w:val="hybridMultilevel"/>
    <w:tmpl w:val="D9B2401E"/>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15:restartNumberingAfterBreak="0">
    <w:nsid w:val="19C71428"/>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15:restartNumberingAfterBreak="0">
    <w:nsid w:val="24C720F9"/>
    <w:multiLevelType w:val="hybridMultilevel"/>
    <w:tmpl w:val="929E2E12"/>
    <w:lvl w:ilvl="0" w:tplc="D4240386">
      <w:start w:val="1"/>
      <w:numFmt w:val="decimal"/>
      <w:lvlText w:val="%1."/>
      <w:lvlJc w:val="left"/>
      <w:pPr>
        <w:ind w:left="1319" w:hanging="480"/>
      </w:pPr>
      <w:rPr>
        <w:b w:val="0"/>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 w15:restartNumberingAfterBreak="0">
    <w:nsid w:val="25195E5F"/>
    <w:multiLevelType w:val="hybridMultilevel"/>
    <w:tmpl w:val="D68E8E12"/>
    <w:lvl w:ilvl="0" w:tplc="DBE8DFE6">
      <w:start w:val="1"/>
      <w:numFmt w:val="decimal"/>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251A0831"/>
    <w:multiLevelType w:val="hybridMultilevel"/>
    <w:tmpl w:val="74961BB4"/>
    <w:lvl w:ilvl="0" w:tplc="251292E2">
      <w:start w:val="2"/>
      <w:numFmt w:val="ideographLegalTraditional"/>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15:restartNumberingAfterBreak="0">
    <w:nsid w:val="299854E8"/>
    <w:multiLevelType w:val="hybridMultilevel"/>
    <w:tmpl w:val="6D16859C"/>
    <w:lvl w:ilvl="0" w:tplc="9702C458">
      <w:start w:val="1"/>
      <w:numFmt w:val="decimal"/>
      <w:lvlText w:val="(%1)"/>
      <w:lvlJc w:val="left"/>
      <w:pPr>
        <w:ind w:left="2040" w:hanging="480"/>
      </w:pPr>
      <w:rPr>
        <w:rFonts w:hint="eastAsia"/>
      </w:rPr>
    </w:lvl>
    <w:lvl w:ilvl="1" w:tplc="1B4C9766">
      <w:start w:val="1"/>
      <w:numFmt w:val="upperLetter"/>
      <w:lvlText w:val="%2、"/>
      <w:lvlJc w:val="left"/>
      <w:pPr>
        <w:ind w:left="2760" w:hanging="72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EB7C78"/>
    <w:multiLevelType w:val="hybridMultilevel"/>
    <w:tmpl w:val="3D649EAA"/>
    <w:lvl w:ilvl="0" w:tplc="AA38D6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454BCF"/>
    <w:multiLevelType w:val="hybridMultilevel"/>
    <w:tmpl w:val="F72E25DE"/>
    <w:lvl w:ilvl="0" w:tplc="90D2445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944637"/>
    <w:multiLevelType w:val="hybridMultilevel"/>
    <w:tmpl w:val="D9B2401E"/>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2" w15:restartNumberingAfterBreak="0">
    <w:nsid w:val="35594B74"/>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3"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85025C8"/>
    <w:multiLevelType w:val="hybridMultilevel"/>
    <w:tmpl w:val="4F94308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3BE32128"/>
    <w:multiLevelType w:val="hybridMultilevel"/>
    <w:tmpl w:val="65004974"/>
    <w:lvl w:ilvl="0" w:tplc="F0F22F8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026381"/>
    <w:multiLevelType w:val="hybridMultilevel"/>
    <w:tmpl w:val="2AC2DF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70665F"/>
    <w:multiLevelType w:val="hybridMultilevel"/>
    <w:tmpl w:val="E47626A2"/>
    <w:lvl w:ilvl="0" w:tplc="A0E637C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8EC1B12"/>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3" w15:restartNumberingAfterBreak="0">
    <w:nsid w:val="5AE2682D"/>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800752"/>
    <w:multiLevelType w:val="hybridMultilevel"/>
    <w:tmpl w:val="00D6834C"/>
    <w:lvl w:ilvl="0" w:tplc="601CB10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D52CF"/>
    <w:multiLevelType w:val="hybridMultilevel"/>
    <w:tmpl w:val="D5A6CEE0"/>
    <w:lvl w:ilvl="0" w:tplc="F0F22F8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5472EC6"/>
    <w:multiLevelType w:val="hybridMultilevel"/>
    <w:tmpl w:val="929E2E12"/>
    <w:lvl w:ilvl="0" w:tplc="D4240386">
      <w:start w:val="1"/>
      <w:numFmt w:val="decimal"/>
      <w:lvlText w:val="%1."/>
      <w:lvlJc w:val="left"/>
      <w:pPr>
        <w:ind w:left="1319" w:hanging="480"/>
      </w:pPr>
      <w:rPr>
        <w:b w:val="0"/>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7"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0925AB"/>
    <w:multiLevelType w:val="hybridMultilevel"/>
    <w:tmpl w:val="65004974"/>
    <w:lvl w:ilvl="0" w:tplc="F0F22F8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760B62A7"/>
    <w:multiLevelType w:val="hybridMultilevel"/>
    <w:tmpl w:val="38F43D0C"/>
    <w:lvl w:ilvl="0" w:tplc="18FA92F8">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tplc="0D8AAF42">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76DE76EB"/>
    <w:multiLevelType w:val="hybridMultilevel"/>
    <w:tmpl w:val="E792680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A0D2001"/>
    <w:multiLevelType w:val="hybridMultilevel"/>
    <w:tmpl w:val="B7C6C070"/>
    <w:lvl w:ilvl="0" w:tplc="F0F22F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E6671A7"/>
    <w:multiLevelType w:val="hybridMultilevel"/>
    <w:tmpl w:val="4E6CFC56"/>
    <w:lvl w:ilvl="0" w:tplc="35042ED6">
      <w:start w:val="1"/>
      <w:numFmt w:val="taiwaneseCountingThousand"/>
      <w:lvlText w:val="%1、"/>
      <w:lvlJc w:val="left"/>
      <w:pPr>
        <w:ind w:left="1189" w:hanging="480"/>
      </w:pPr>
      <w:rPr>
        <w:b/>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1"/>
  </w:num>
  <w:num w:numId="2">
    <w:abstractNumId w:val="1"/>
  </w:num>
  <w:num w:numId="3">
    <w:abstractNumId w:val="32"/>
  </w:num>
  <w:num w:numId="4">
    <w:abstractNumId w:val="22"/>
  </w:num>
  <w:num w:numId="5">
    <w:abstractNumId w:val="20"/>
  </w:num>
  <w:num w:numId="6">
    <w:abstractNumId w:val="10"/>
  </w:num>
  <w:num w:numId="7">
    <w:abstractNumId w:val="3"/>
  </w:num>
  <w:num w:numId="8">
    <w:abstractNumId w:val="16"/>
  </w:num>
  <w:num w:numId="9">
    <w:abstractNumId w:val="19"/>
  </w:num>
  <w:num w:numId="10">
    <w:abstractNumId w:val="24"/>
  </w:num>
  <w:num w:numId="11">
    <w:abstractNumId w:val="29"/>
  </w:num>
  <w:num w:numId="12">
    <w:abstractNumId w:val="31"/>
  </w:num>
  <w:num w:numId="13">
    <w:abstractNumId w:val="14"/>
  </w:num>
  <w:num w:numId="14">
    <w:abstractNumId w:val="6"/>
  </w:num>
  <w:num w:numId="15">
    <w:abstractNumId w:val="30"/>
  </w:num>
  <w:num w:numId="16">
    <w:abstractNumId w:val="17"/>
  </w:num>
  <w:num w:numId="17">
    <w:abstractNumId w:val="21"/>
  </w:num>
  <w:num w:numId="18">
    <w:abstractNumId w:val="0"/>
  </w:num>
  <w:num w:numId="19">
    <w:abstractNumId w:val="13"/>
  </w:num>
  <w:num w:numId="20">
    <w:abstractNumId w:val="21"/>
    <w:lvlOverride w:ilvl="0">
      <w:startOverride w:val="1"/>
    </w:lvlOverride>
  </w:num>
  <w:num w:numId="21">
    <w:abstractNumId w:val="13"/>
    <w:lvlOverride w:ilvl="0">
      <w:startOverride w:val="1"/>
    </w:lvlOverride>
  </w:num>
  <w:num w:numId="22">
    <w:abstractNumId w:val="7"/>
  </w:num>
  <w:num w:numId="23">
    <w:abstractNumId w:val="8"/>
  </w:num>
  <w:num w:numId="24">
    <w:abstractNumId w:val="18"/>
  </w:num>
  <w:num w:numId="25">
    <w:abstractNumId w:val="27"/>
  </w:num>
  <w:num w:numId="26">
    <w:abstractNumId w:val="4"/>
  </w:num>
  <w:num w:numId="27">
    <w:abstractNumId w:val="2"/>
  </w:num>
  <w:num w:numId="28">
    <w:abstractNumId w:val="12"/>
  </w:num>
  <w:num w:numId="29">
    <w:abstractNumId w:val="15"/>
  </w:num>
  <w:num w:numId="30">
    <w:abstractNumId w:val="28"/>
  </w:num>
  <w:num w:numId="31">
    <w:abstractNumId w:val="5"/>
  </w:num>
  <w:num w:numId="32">
    <w:abstractNumId w:val="25"/>
  </w:num>
  <w:num w:numId="33">
    <w:abstractNumId w:val="9"/>
  </w:num>
  <w:num w:numId="34">
    <w:abstractNumId w:val="2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08"/>
    <w:rsid w:val="00010618"/>
    <w:rsid w:val="00017EB7"/>
    <w:rsid w:val="00033FC5"/>
    <w:rsid w:val="00054235"/>
    <w:rsid w:val="00065CC1"/>
    <w:rsid w:val="00076E8E"/>
    <w:rsid w:val="00092014"/>
    <w:rsid w:val="000B57AB"/>
    <w:rsid w:val="000B5ECD"/>
    <w:rsid w:val="000C4C9F"/>
    <w:rsid w:val="000D305F"/>
    <w:rsid w:val="000E13D2"/>
    <w:rsid w:val="000F6C3F"/>
    <w:rsid w:val="001228E1"/>
    <w:rsid w:val="00132A2D"/>
    <w:rsid w:val="00144926"/>
    <w:rsid w:val="0015322C"/>
    <w:rsid w:val="00162FF1"/>
    <w:rsid w:val="00165D34"/>
    <w:rsid w:val="00166CD4"/>
    <w:rsid w:val="00184A33"/>
    <w:rsid w:val="00187A40"/>
    <w:rsid w:val="001A2C1A"/>
    <w:rsid w:val="001A7712"/>
    <w:rsid w:val="001B377C"/>
    <w:rsid w:val="001B6ED8"/>
    <w:rsid w:val="001B6EEA"/>
    <w:rsid w:val="001B7328"/>
    <w:rsid w:val="001C0D63"/>
    <w:rsid w:val="001D5195"/>
    <w:rsid w:val="002000A7"/>
    <w:rsid w:val="00211CC6"/>
    <w:rsid w:val="00213C96"/>
    <w:rsid w:val="00213F35"/>
    <w:rsid w:val="00220A3B"/>
    <w:rsid w:val="00244833"/>
    <w:rsid w:val="002611A1"/>
    <w:rsid w:val="0027779E"/>
    <w:rsid w:val="0028131E"/>
    <w:rsid w:val="002835C4"/>
    <w:rsid w:val="0029013D"/>
    <w:rsid w:val="002A5AC5"/>
    <w:rsid w:val="002B0D03"/>
    <w:rsid w:val="002B18D1"/>
    <w:rsid w:val="002B3DE2"/>
    <w:rsid w:val="002B54BB"/>
    <w:rsid w:val="00304586"/>
    <w:rsid w:val="003340BB"/>
    <w:rsid w:val="00341BAF"/>
    <w:rsid w:val="003551D8"/>
    <w:rsid w:val="00383ACD"/>
    <w:rsid w:val="0039594F"/>
    <w:rsid w:val="003A6301"/>
    <w:rsid w:val="003B2D9E"/>
    <w:rsid w:val="003E11D5"/>
    <w:rsid w:val="004032DC"/>
    <w:rsid w:val="00412085"/>
    <w:rsid w:val="00436C7B"/>
    <w:rsid w:val="00462ACB"/>
    <w:rsid w:val="00485408"/>
    <w:rsid w:val="004945A8"/>
    <w:rsid w:val="0049733D"/>
    <w:rsid w:val="004B0222"/>
    <w:rsid w:val="004B316D"/>
    <w:rsid w:val="004D07EF"/>
    <w:rsid w:val="004E1E61"/>
    <w:rsid w:val="004F2172"/>
    <w:rsid w:val="004F2F57"/>
    <w:rsid w:val="00574CF5"/>
    <w:rsid w:val="005925C3"/>
    <w:rsid w:val="0059363A"/>
    <w:rsid w:val="00594F3B"/>
    <w:rsid w:val="005A2500"/>
    <w:rsid w:val="005B2450"/>
    <w:rsid w:val="005B595B"/>
    <w:rsid w:val="005C4F53"/>
    <w:rsid w:val="00601E84"/>
    <w:rsid w:val="00674D07"/>
    <w:rsid w:val="006770B9"/>
    <w:rsid w:val="00683DFB"/>
    <w:rsid w:val="00694BAC"/>
    <w:rsid w:val="006A4850"/>
    <w:rsid w:val="006B4E8B"/>
    <w:rsid w:val="006D3753"/>
    <w:rsid w:val="006E556F"/>
    <w:rsid w:val="00702706"/>
    <w:rsid w:val="00710BA1"/>
    <w:rsid w:val="0075265C"/>
    <w:rsid w:val="00762E68"/>
    <w:rsid w:val="007700C4"/>
    <w:rsid w:val="007D7D16"/>
    <w:rsid w:val="007F0CFA"/>
    <w:rsid w:val="007F34EF"/>
    <w:rsid w:val="00806F15"/>
    <w:rsid w:val="008335CF"/>
    <w:rsid w:val="00836222"/>
    <w:rsid w:val="008458F2"/>
    <w:rsid w:val="00897C05"/>
    <w:rsid w:val="008C320D"/>
    <w:rsid w:val="008C415A"/>
    <w:rsid w:val="0093510C"/>
    <w:rsid w:val="0093746F"/>
    <w:rsid w:val="00980E88"/>
    <w:rsid w:val="0098291F"/>
    <w:rsid w:val="009A7A37"/>
    <w:rsid w:val="00A0095B"/>
    <w:rsid w:val="00A01E24"/>
    <w:rsid w:val="00A32C7B"/>
    <w:rsid w:val="00A55A0F"/>
    <w:rsid w:val="00A55C8E"/>
    <w:rsid w:val="00A679BE"/>
    <w:rsid w:val="00A976B2"/>
    <w:rsid w:val="00AC46D0"/>
    <w:rsid w:val="00AE4340"/>
    <w:rsid w:val="00AF10BE"/>
    <w:rsid w:val="00B22381"/>
    <w:rsid w:val="00B26129"/>
    <w:rsid w:val="00B27E9D"/>
    <w:rsid w:val="00B46E47"/>
    <w:rsid w:val="00B548AD"/>
    <w:rsid w:val="00B61A9E"/>
    <w:rsid w:val="00B65437"/>
    <w:rsid w:val="00B71E10"/>
    <w:rsid w:val="00BA7EDC"/>
    <w:rsid w:val="00BC5EE4"/>
    <w:rsid w:val="00BE3A99"/>
    <w:rsid w:val="00BF0F75"/>
    <w:rsid w:val="00BF6DD8"/>
    <w:rsid w:val="00C0655A"/>
    <w:rsid w:val="00C30849"/>
    <w:rsid w:val="00C37E99"/>
    <w:rsid w:val="00C40732"/>
    <w:rsid w:val="00C71ACB"/>
    <w:rsid w:val="00CB14E0"/>
    <w:rsid w:val="00CC2D7D"/>
    <w:rsid w:val="00CE04C1"/>
    <w:rsid w:val="00CF49C5"/>
    <w:rsid w:val="00D62604"/>
    <w:rsid w:val="00D664C6"/>
    <w:rsid w:val="00D70CB5"/>
    <w:rsid w:val="00D82810"/>
    <w:rsid w:val="00D82CC6"/>
    <w:rsid w:val="00D86728"/>
    <w:rsid w:val="00DA07F1"/>
    <w:rsid w:val="00DB006B"/>
    <w:rsid w:val="00DB24F3"/>
    <w:rsid w:val="00DC2BF6"/>
    <w:rsid w:val="00DD21DF"/>
    <w:rsid w:val="00E05487"/>
    <w:rsid w:val="00E118A9"/>
    <w:rsid w:val="00E20F11"/>
    <w:rsid w:val="00E2663F"/>
    <w:rsid w:val="00E43A82"/>
    <w:rsid w:val="00E66A0C"/>
    <w:rsid w:val="00E7260A"/>
    <w:rsid w:val="00EA2365"/>
    <w:rsid w:val="00EC2CBF"/>
    <w:rsid w:val="00EC3124"/>
    <w:rsid w:val="00EE0379"/>
    <w:rsid w:val="00EF2573"/>
    <w:rsid w:val="00EF7701"/>
    <w:rsid w:val="00F4423D"/>
    <w:rsid w:val="00F80665"/>
    <w:rsid w:val="00F90D6E"/>
    <w:rsid w:val="00FA7605"/>
    <w:rsid w:val="00FA791D"/>
    <w:rsid w:val="00FA7B38"/>
    <w:rsid w:val="00FB034D"/>
    <w:rsid w:val="00FD0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17A4A3-2EB0-48E0-B453-155B1F8B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4E0"/>
    <w:pPr>
      <w:tabs>
        <w:tab w:val="center" w:pos="4153"/>
        <w:tab w:val="right" w:pos="8306"/>
      </w:tabs>
      <w:snapToGrid w:val="0"/>
    </w:pPr>
    <w:rPr>
      <w:sz w:val="20"/>
      <w:szCs w:val="20"/>
    </w:rPr>
  </w:style>
  <w:style w:type="character" w:customStyle="1" w:styleId="a4">
    <w:name w:val="頁首 字元"/>
    <w:basedOn w:val="a0"/>
    <w:link w:val="a3"/>
    <w:uiPriority w:val="99"/>
    <w:rsid w:val="00CB14E0"/>
    <w:rPr>
      <w:sz w:val="20"/>
      <w:szCs w:val="20"/>
    </w:rPr>
  </w:style>
  <w:style w:type="paragraph" w:styleId="a5">
    <w:name w:val="footer"/>
    <w:basedOn w:val="a"/>
    <w:link w:val="a6"/>
    <w:uiPriority w:val="99"/>
    <w:unhideWhenUsed/>
    <w:rsid w:val="00CB14E0"/>
    <w:pPr>
      <w:tabs>
        <w:tab w:val="center" w:pos="4153"/>
        <w:tab w:val="right" w:pos="8306"/>
      </w:tabs>
      <w:snapToGrid w:val="0"/>
    </w:pPr>
    <w:rPr>
      <w:sz w:val="20"/>
      <w:szCs w:val="20"/>
    </w:rPr>
  </w:style>
  <w:style w:type="character" w:customStyle="1" w:styleId="a6">
    <w:name w:val="頁尾 字元"/>
    <w:basedOn w:val="a0"/>
    <w:link w:val="a5"/>
    <w:uiPriority w:val="99"/>
    <w:rsid w:val="00CB14E0"/>
    <w:rPr>
      <w:sz w:val="20"/>
      <w:szCs w:val="20"/>
    </w:rPr>
  </w:style>
  <w:style w:type="paragraph" w:styleId="a7">
    <w:name w:val="List Paragraph"/>
    <w:basedOn w:val="a"/>
    <w:link w:val="a8"/>
    <w:uiPriority w:val="34"/>
    <w:qFormat/>
    <w:rsid w:val="00CB14E0"/>
    <w:pPr>
      <w:ind w:leftChars="200" w:left="480"/>
    </w:pPr>
  </w:style>
  <w:style w:type="character" w:customStyle="1" w:styleId="a8">
    <w:name w:val="清單段落 字元"/>
    <w:link w:val="a7"/>
    <w:uiPriority w:val="34"/>
    <w:rsid w:val="00CB14E0"/>
  </w:style>
  <w:style w:type="table" w:styleId="a9">
    <w:name w:val="Table Grid"/>
    <w:basedOn w:val="a1"/>
    <w:uiPriority w:val="39"/>
    <w:rsid w:val="007F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a2"/>
    <w:rsid w:val="004F2F57"/>
    <w:pPr>
      <w:numPr>
        <w:numId w:val="17"/>
      </w:numPr>
    </w:pPr>
  </w:style>
  <w:style w:type="numbering" w:customStyle="1" w:styleId="WWNum6">
    <w:name w:val="WWNum6"/>
    <w:basedOn w:val="a2"/>
    <w:rsid w:val="004F2F57"/>
    <w:pPr>
      <w:numPr>
        <w:numId w:val="18"/>
      </w:numPr>
    </w:pPr>
  </w:style>
  <w:style w:type="numbering" w:customStyle="1" w:styleId="WWNum7">
    <w:name w:val="WWNum7"/>
    <w:basedOn w:val="a2"/>
    <w:rsid w:val="004F2F57"/>
    <w:pPr>
      <w:numPr>
        <w:numId w:val="19"/>
      </w:numPr>
    </w:pPr>
  </w:style>
  <w:style w:type="paragraph" w:styleId="aa">
    <w:name w:val="Balloon Text"/>
    <w:basedOn w:val="a"/>
    <w:link w:val="ab"/>
    <w:uiPriority w:val="99"/>
    <w:semiHidden/>
    <w:unhideWhenUsed/>
    <w:rsid w:val="00B71E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1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2020-03-19T06:14:00Z</cp:lastPrinted>
  <dcterms:created xsi:type="dcterms:W3CDTF">2020-04-13T23:57:00Z</dcterms:created>
  <dcterms:modified xsi:type="dcterms:W3CDTF">2020-04-13T23:57:00Z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305025184</vt:i4>
  </property>
</Properties>
</file>